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432" w:type="dxa"/>
        <w:tblBorders>
          <w:bottom w:val="single" w:sz="4" w:space="0" w:color="auto"/>
        </w:tblBorders>
        <w:tblLayout w:type="fixed"/>
        <w:tblLook w:val="01E0"/>
      </w:tblPr>
      <w:tblGrid>
        <w:gridCol w:w="3780"/>
        <w:gridCol w:w="2700"/>
        <w:gridCol w:w="3960"/>
      </w:tblGrid>
      <w:tr w:rsidR="00BB6BD9" w:rsidRPr="00624E53" w:rsidTr="00BB7625">
        <w:trPr>
          <w:trHeight w:val="1627"/>
        </w:trPr>
        <w:tc>
          <w:tcPr>
            <w:tcW w:w="3780" w:type="dxa"/>
          </w:tcPr>
          <w:p w:rsidR="00BB6BD9" w:rsidRPr="00624E53" w:rsidRDefault="00BB6BD9" w:rsidP="00BB7625">
            <w:pPr>
              <w:jc w:val="center"/>
              <w:rPr>
                <w:rFonts w:ascii="Times New Roman" w:hAnsi="Times New Roman"/>
                <w:b/>
                <w:w w:val="150"/>
                <w:sz w:val="20"/>
                <w:szCs w:val="20"/>
                <w:lang w:val="bs-Latn-BA"/>
              </w:rPr>
            </w:pPr>
            <w:r w:rsidRPr="00624E53">
              <w:rPr>
                <w:rFonts w:ascii="Times New Roman" w:hAnsi="Times New Roman"/>
                <w:b/>
                <w:w w:val="150"/>
                <w:sz w:val="20"/>
                <w:szCs w:val="20"/>
                <w:lang w:val="bs-Latn-BA"/>
              </w:rPr>
              <w:t>Bosna i Hercegovina</w:t>
            </w:r>
          </w:p>
          <w:p w:rsidR="00BB6BD9" w:rsidRPr="00624E53" w:rsidRDefault="00BB6BD9" w:rsidP="00BB7625">
            <w:pPr>
              <w:jc w:val="center"/>
              <w:rPr>
                <w:rFonts w:ascii="Times New Roman" w:hAnsi="Times New Roman"/>
                <w:b/>
                <w:w w:val="150"/>
                <w:sz w:val="16"/>
                <w:szCs w:val="16"/>
                <w:lang w:val="bs-Latn-BA"/>
              </w:rPr>
            </w:pPr>
            <w:r w:rsidRPr="00624E53">
              <w:rPr>
                <w:rFonts w:ascii="Times New Roman" w:hAnsi="Times New Roman"/>
                <w:b/>
                <w:w w:val="150"/>
                <w:sz w:val="16"/>
                <w:szCs w:val="16"/>
                <w:lang w:val="bs-Latn-BA"/>
              </w:rPr>
              <w:t>Federacija Bosne i Hercegovine</w:t>
            </w:r>
          </w:p>
          <w:p w:rsidR="00BB6BD9" w:rsidRPr="00624E53" w:rsidRDefault="00BB6BD9" w:rsidP="00BB7625">
            <w:pPr>
              <w:jc w:val="center"/>
              <w:rPr>
                <w:rFonts w:ascii="Times New Roman" w:hAnsi="Times New Roman"/>
                <w:b/>
                <w:w w:val="150"/>
                <w:sz w:val="20"/>
                <w:szCs w:val="20"/>
                <w:lang w:val="bs-Latn-BA"/>
              </w:rPr>
            </w:pPr>
            <w:r w:rsidRPr="00624E53">
              <w:rPr>
                <w:rFonts w:ascii="Times New Roman" w:hAnsi="Times New Roman"/>
                <w:b/>
                <w:w w:val="150"/>
                <w:sz w:val="20"/>
                <w:szCs w:val="20"/>
                <w:lang w:val="bs-Latn-BA"/>
              </w:rPr>
              <w:t>Tuzlanski kanton</w:t>
            </w:r>
          </w:p>
          <w:p w:rsidR="00BB6BD9" w:rsidRPr="00624E53" w:rsidRDefault="00BB6BD9" w:rsidP="00BB7625">
            <w:pPr>
              <w:jc w:val="center"/>
              <w:rPr>
                <w:rFonts w:ascii="Times New Roman" w:hAnsi="Times New Roman"/>
                <w:b/>
                <w:w w:val="150"/>
                <w:sz w:val="20"/>
                <w:szCs w:val="20"/>
                <w:lang w:val="bs-Latn-BA"/>
              </w:rPr>
            </w:pPr>
            <w:r w:rsidRPr="00624E53">
              <w:rPr>
                <w:rFonts w:ascii="Times New Roman" w:hAnsi="Times New Roman"/>
                <w:b/>
                <w:w w:val="150"/>
                <w:sz w:val="20"/>
                <w:szCs w:val="20"/>
                <w:lang w:val="bs-Latn-BA"/>
              </w:rPr>
              <w:t>Općina Teočak</w:t>
            </w:r>
          </w:p>
          <w:p w:rsidR="00BB6BD9" w:rsidRPr="00624E53" w:rsidRDefault="00BB6BD9" w:rsidP="00BB7625">
            <w:pPr>
              <w:jc w:val="center"/>
              <w:rPr>
                <w:rFonts w:ascii="Times New Roman" w:hAnsi="Times New Roman"/>
                <w:b/>
                <w:w w:val="140"/>
                <w:sz w:val="20"/>
                <w:szCs w:val="20"/>
                <w:lang w:val="bs-Latn-BA"/>
              </w:rPr>
            </w:pPr>
            <w:r w:rsidRPr="00624E53">
              <w:rPr>
                <w:rFonts w:ascii="Times New Roman" w:hAnsi="Times New Roman"/>
                <w:b/>
                <w:w w:val="140"/>
                <w:sz w:val="20"/>
                <w:szCs w:val="20"/>
                <w:lang w:val="bs-Latn-BA"/>
              </w:rPr>
              <w:t xml:space="preserve">Osnovna škola "Teočak" </w:t>
            </w:r>
          </w:p>
          <w:p w:rsidR="00BB6BD9" w:rsidRPr="00624E53" w:rsidRDefault="00BB6BD9" w:rsidP="00BB7625">
            <w:pPr>
              <w:jc w:val="center"/>
              <w:rPr>
                <w:rFonts w:ascii="Times New Roman" w:hAnsi="Times New Roman"/>
                <w:b/>
                <w:w w:val="140"/>
                <w:sz w:val="20"/>
                <w:szCs w:val="20"/>
                <w:lang w:val="bs-Latn-BA"/>
              </w:rPr>
            </w:pPr>
            <w:r w:rsidRPr="00624E53">
              <w:rPr>
                <w:rFonts w:ascii="Times New Roman" w:hAnsi="Times New Roman"/>
                <w:b/>
                <w:w w:val="140"/>
                <w:sz w:val="20"/>
                <w:szCs w:val="20"/>
                <w:lang w:val="bs-Latn-BA"/>
              </w:rPr>
              <w:t>u Teočaku</w:t>
            </w:r>
          </w:p>
        </w:tc>
        <w:tc>
          <w:tcPr>
            <w:tcW w:w="2700" w:type="dxa"/>
          </w:tcPr>
          <w:p w:rsidR="00BB6BD9" w:rsidRPr="00624E53" w:rsidRDefault="000E5687" w:rsidP="00BB7625">
            <w:pPr>
              <w:jc w:val="center"/>
              <w:rPr>
                <w:rFonts w:ascii="Times New Roman" w:hAnsi="Times New Roman"/>
                <w:b/>
                <w:w w:val="200"/>
                <w:sz w:val="20"/>
                <w:szCs w:val="20"/>
                <w:lang w:val="bs-Latn-BA"/>
              </w:rPr>
            </w:pPr>
            <w:r w:rsidRPr="000E5687">
              <w:rPr>
                <w:rFonts w:ascii="Times New Roman" w:hAnsi="Times New Roman"/>
                <w:b/>
                <w:w w:val="200"/>
                <w:sz w:val="20"/>
                <w:szCs w:val="20"/>
                <w:lang w:val="bs-Latn-B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-46601</wp:posOffset>
                  </wp:positionH>
                  <wp:positionV relativeFrom="paragraph">
                    <wp:posOffset>-300027</wp:posOffset>
                  </wp:positionV>
                  <wp:extent cx="1559519" cy="1376516"/>
                  <wp:effectExtent l="19050" t="0" r="2581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9519" cy="1376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0" w:type="dxa"/>
          </w:tcPr>
          <w:p w:rsidR="00BB6BD9" w:rsidRPr="00624E53" w:rsidRDefault="00BB6BD9" w:rsidP="00BB7625">
            <w:pPr>
              <w:jc w:val="center"/>
              <w:rPr>
                <w:rFonts w:ascii="Times New Roman" w:hAnsi="Times New Roman"/>
                <w:b/>
                <w:w w:val="150"/>
                <w:sz w:val="20"/>
                <w:szCs w:val="20"/>
                <w:lang w:val="bs-Latn-BA"/>
              </w:rPr>
            </w:pPr>
            <w:r w:rsidRPr="00624E53">
              <w:rPr>
                <w:rFonts w:ascii="Times New Roman" w:hAnsi="Times New Roman"/>
                <w:b/>
                <w:w w:val="150"/>
                <w:sz w:val="20"/>
                <w:szCs w:val="20"/>
                <w:lang w:val="bs-Latn-BA"/>
              </w:rPr>
              <w:t>Bosnia and Herzegovina</w:t>
            </w:r>
          </w:p>
          <w:p w:rsidR="00BB6BD9" w:rsidRPr="00624E53" w:rsidRDefault="00BB6BD9" w:rsidP="00BB762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 w:rsidRPr="00624E53"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The Federation of Bosnia and Herzegovina</w:t>
            </w:r>
          </w:p>
          <w:p w:rsidR="00BB6BD9" w:rsidRPr="00624E53" w:rsidRDefault="00BB6BD9" w:rsidP="00BB7625">
            <w:pPr>
              <w:jc w:val="center"/>
              <w:rPr>
                <w:rFonts w:ascii="Times New Roman" w:hAnsi="Times New Roman"/>
                <w:b/>
                <w:w w:val="150"/>
                <w:sz w:val="20"/>
                <w:szCs w:val="20"/>
                <w:lang w:val="bs-Latn-BA"/>
              </w:rPr>
            </w:pPr>
            <w:r w:rsidRPr="00624E53">
              <w:rPr>
                <w:rFonts w:ascii="Times New Roman" w:hAnsi="Times New Roman"/>
                <w:b/>
                <w:w w:val="150"/>
                <w:sz w:val="20"/>
                <w:szCs w:val="20"/>
                <w:lang w:val="bs-Latn-BA"/>
              </w:rPr>
              <w:t>Tuzla Canton</w:t>
            </w:r>
          </w:p>
          <w:p w:rsidR="00BB6BD9" w:rsidRPr="00624E53" w:rsidRDefault="00BB6BD9" w:rsidP="00BB7625">
            <w:pPr>
              <w:jc w:val="center"/>
              <w:rPr>
                <w:rFonts w:ascii="Times New Roman" w:hAnsi="Times New Roman"/>
                <w:b/>
                <w:w w:val="150"/>
                <w:sz w:val="20"/>
                <w:szCs w:val="20"/>
                <w:lang w:val="bs-Latn-BA"/>
              </w:rPr>
            </w:pPr>
            <w:r w:rsidRPr="00624E53">
              <w:rPr>
                <w:rFonts w:ascii="Times New Roman" w:hAnsi="Times New Roman"/>
                <w:b/>
                <w:w w:val="150"/>
                <w:sz w:val="20"/>
                <w:szCs w:val="20"/>
                <w:lang w:val="bs-Latn-BA"/>
              </w:rPr>
              <w:t>Teocak Municipality</w:t>
            </w:r>
          </w:p>
          <w:p w:rsidR="00BB6BD9" w:rsidRPr="00624E53" w:rsidRDefault="00BB6BD9" w:rsidP="00BB7625">
            <w:pPr>
              <w:jc w:val="center"/>
              <w:rPr>
                <w:rFonts w:ascii="Times New Roman" w:hAnsi="Times New Roman"/>
                <w:b/>
                <w:w w:val="140"/>
                <w:sz w:val="20"/>
                <w:szCs w:val="20"/>
                <w:lang w:val="bs-Latn-BA"/>
              </w:rPr>
            </w:pPr>
            <w:r w:rsidRPr="00624E53">
              <w:rPr>
                <w:rFonts w:ascii="Times New Roman" w:hAnsi="Times New Roman"/>
                <w:b/>
                <w:w w:val="140"/>
                <w:sz w:val="20"/>
                <w:szCs w:val="20"/>
                <w:lang w:val="bs-Latn-BA"/>
              </w:rPr>
              <w:t xml:space="preserve">Primary School "Teocak" </w:t>
            </w:r>
          </w:p>
          <w:p w:rsidR="00BB6BD9" w:rsidRPr="00624E53" w:rsidRDefault="00BB6BD9" w:rsidP="00BB7625">
            <w:pPr>
              <w:jc w:val="center"/>
              <w:rPr>
                <w:rFonts w:ascii="Times New Roman" w:hAnsi="Times New Roman"/>
                <w:b/>
                <w:w w:val="140"/>
                <w:sz w:val="20"/>
                <w:szCs w:val="20"/>
                <w:lang w:val="bs-Latn-BA"/>
              </w:rPr>
            </w:pPr>
            <w:r w:rsidRPr="00624E53">
              <w:rPr>
                <w:rFonts w:ascii="Times New Roman" w:hAnsi="Times New Roman"/>
                <w:b/>
                <w:w w:val="140"/>
                <w:sz w:val="20"/>
                <w:szCs w:val="20"/>
                <w:lang w:val="bs-Latn-BA"/>
              </w:rPr>
              <w:t>in Teocak</w:t>
            </w:r>
          </w:p>
        </w:tc>
      </w:tr>
    </w:tbl>
    <w:p w:rsidR="00BB6BD9" w:rsidRPr="00624E53" w:rsidRDefault="00BB6BD9" w:rsidP="00BB6BD9">
      <w:pPr>
        <w:pStyle w:val="NoSpacing"/>
        <w:jc w:val="both"/>
        <w:rPr>
          <w:rFonts w:ascii="Times New Roman" w:hAnsi="Times New Roman"/>
          <w:lang w:val="bs-Latn-BA"/>
        </w:rPr>
      </w:pPr>
    </w:p>
    <w:p w:rsidR="00BB6BD9" w:rsidRDefault="00BB6BD9" w:rsidP="00BB6BD9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B6BD9" w:rsidRPr="00B47D9A" w:rsidRDefault="00BB6BD9" w:rsidP="00BB6BD9">
      <w:pPr>
        <w:jc w:val="center"/>
        <w:rPr>
          <w:rFonts w:ascii="Cambria" w:hAnsi="Cambria"/>
          <w:b/>
          <w:i/>
          <w:sz w:val="28"/>
          <w:szCs w:val="28"/>
        </w:rPr>
      </w:pPr>
      <w:r w:rsidRPr="00B47D9A">
        <w:rPr>
          <w:rFonts w:ascii="Cambria" w:hAnsi="Cambria"/>
          <w:b/>
          <w:i/>
          <w:sz w:val="28"/>
          <w:szCs w:val="28"/>
        </w:rPr>
        <w:t xml:space="preserve">PROGRAM RADA ŠKOLSKOG ODBORA </w:t>
      </w:r>
    </w:p>
    <w:p w:rsidR="00BB6BD9" w:rsidRPr="00B47D9A" w:rsidRDefault="00BB6BD9" w:rsidP="00BB6BD9">
      <w:pPr>
        <w:spacing w:before="120"/>
        <w:jc w:val="center"/>
        <w:rPr>
          <w:rFonts w:ascii="Cambria" w:hAnsi="Cambria"/>
          <w:b/>
          <w:i/>
          <w:sz w:val="28"/>
          <w:szCs w:val="28"/>
        </w:rPr>
      </w:pPr>
      <w:r w:rsidRPr="00B47D9A">
        <w:rPr>
          <w:rFonts w:ascii="Cambria" w:hAnsi="Cambria"/>
          <w:b/>
          <w:i/>
          <w:sz w:val="28"/>
          <w:szCs w:val="28"/>
        </w:rPr>
        <w:t xml:space="preserve">JU Osnovne škole „Teočak“ Teočak </w:t>
      </w:r>
    </w:p>
    <w:p w:rsidR="00BB6BD9" w:rsidRPr="00B47D9A" w:rsidRDefault="00BB6BD9" w:rsidP="00BB6BD9">
      <w:pPr>
        <w:jc w:val="both"/>
        <w:rPr>
          <w:rFonts w:ascii="Cambria" w:hAnsi="Cambria"/>
        </w:rPr>
      </w:pPr>
    </w:p>
    <w:p w:rsidR="00BB6BD9" w:rsidRPr="00B47D9A" w:rsidRDefault="00BB6BD9" w:rsidP="00BB6BD9">
      <w:pPr>
        <w:jc w:val="both"/>
        <w:rPr>
          <w:rFonts w:ascii="Cambria" w:hAnsi="Cambria"/>
        </w:rPr>
      </w:pPr>
    </w:p>
    <w:p w:rsidR="00BB6BD9" w:rsidRDefault="00BB6BD9" w:rsidP="00BB6BD9">
      <w:pPr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>Školski odbor kao organ upravljanja JU OŠ „Teočak“ Teočak organizuje se i radi u skladu sa Zakonom o osnovnom odgoju i obrazovanju, Pravilima škole i Uredbom o uslovima, kriterijima, postupku i načinu imenovanja, te načinu rada Školskog odbora za osnovne škole čiji je osnivač Skupština Tuzlanskog kantona</w:t>
      </w:r>
      <w:r w:rsidR="000E5687">
        <w:rPr>
          <w:rFonts w:ascii="Cambria" w:hAnsi="Cambria"/>
        </w:rPr>
        <w:t>.</w:t>
      </w:r>
    </w:p>
    <w:p w:rsidR="000E5687" w:rsidRDefault="000E5687" w:rsidP="00BB6BD9">
      <w:pPr>
        <w:ind w:firstLine="720"/>
        <w:jc w:val="both"/>
        <w:rPr>
          <w:rFonts w:ascii="Cambria" w:hAnsi="Cambria"/>
        </w:rPr>
      </w:pPr>
    </w:p>
    <w:p w:rsidR="00BB6BD9" w:rsidRPr="00B47D9A" w:rsidRDefault="000E5687" w:rsidP="00BB6BD9">
      <w:pPr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Školski odbor JU OŠ „Teočak „ Teočak: </w:t>
      </w:r>
      <w:r w:rsidR="00BB6BD9" w:rsidRPr="00B47D9A">
        <w:rPr>
          <w:rFonts w:ascii="Cambria" w:hAnsi="Cambria"/>
        </w:rPr>
        <w:t xml:space="preserve">broji </w:t>
      </w:r>
      <w:r w:rsidR="00BB6BD9">
        <w:rPr>
          <w:rFonts w:ascii="Cambria" w:hAnsi="Cambria"/>
        </w:rPr>
        <w:t>tri člana</w:t>
      </w:r>
      <w:r>
        <w:rPr>
          <w:rFonts w:ascii="Cambria" w:hAnsi="Cambria"/>
        </w:rPr>
        <w:t>:</w:t>
      </w:r>
      <w:r w:rsidR="00BB6BD9" w:rsidRPr="00B47D9A">
        <w:rPr>
          <w:rFonts w:ascii="Cambria" w:hAnsi="Cambria"/>
        </w:rPr>
        <w:t xml:space="preserve"> </w:t>
      </w:r>
    </w:p>
    <w:p w:rsidR="00BB6BD9" w:rsidRPr="00BB6BD9" w:rsidRDefault="00BB6BD9" w:rsidP="00BB6BD9">
      <w:pPr>
        <w:jc w:val="both"/>
        <w:rPr>
          <w:rFonts w:ascii="Cambria" w:hAnsi="Cambria"/>
          <w:b/>
        </w:rPr>
      </w:pPr>
      <w:r w:rsidRPr="00BB6BD9">
        <w:rPr>
          <w:rFonts w:ascii="Cambria" w:hAnsi="Cambria"/>
          <w:b/>
        </w:rPr>
        <w:t>Predsjednik Školskog odbora: Mulaosmanović Semir</w:t>
      </w:r>
    </w:p>
    <w:p w:rsidR="00BB6BD9" w:rsidRDefault="00BB6BD9" w:rsidP="00BB6BD9">
      <w:pPr>
        <w:jc w:val="both"/>
        <w:rPr>
          <w:rFonts w:ascii="Cambria" w:hAnsi="Cambria"/>
          <w:b/>
        </w:rPr>
      </w:pPr>
      <w:r w:rsidRPr="00BB6BD9">
        <w:rPr>
          <w:rFonts w:ascii="Cambria" w:hAnsi="Cambria"/>
          <w:b/>
        </w:rPr>
        <w:t>Članovi: Abdulahović Amir i Dautović Meksudin</w:t>
      </w:r>
    </w:p>
    <w:p w:rsidR="000E5687" w:rsidRPr="00BB6BD9" w:rsidRDefault="000E5687" w:rsidP="00BB6BD9">
      <w:pPr>
        <w:jc w:val="both"/>
        <w:rPr>
          <w:rFonts w:ascii="Cambria" w:hAnsi="Cambria"/>
          <w:b/>
        </w:rPr>
      </w:pPr>
    </w:p>
    <w:p w:rsidR="00BB6BD9" w:rsidRPr="00B47D9A" w:rsidRDefault="00BB6BD9" w:rsidP="00BB6BD9">
      <w:pPr>
        <w:ind w:firstLine="720"/>
        <w:jc w:val="both"/>
        <w:rPr>
          <w:rFonts w:ascii="Cambria" w:hAnsi="Cambria"/>
        </w:rPr>
      </w:pPr>
      <w:r w:rsidRPr="00B47D9A">
        <w:rPr>
          <w:rFonts w:ascii="Cambria" w:hAnsi="Cambria"/>
        </w:rPr>
        <w:t>Školski odbor, pored poslova utvrđenih Zakonom o osnovnom odgoju i obrazovanju („Službene novine Tuzlanskog kantona“, broj:</w:t>
      </w:r>
      <w:r w:rsidRPr="00BB6BD9">
        <w:rPr>
          <w:rFonts w:ascii="Open Sans" w:hAnsi="Open Sans"/>
          <w:color w:val="444444"/>
          <w:sz w:val="25"/>
          <w:szCs w:val="25"/>
          <w:shd w:val="clear" w:color="auto" w:fill="FFFFFF"/>
        </w:rPr>
        <w:t xml:space="preserve"> </w:t>
      </w:r>
      <w:r w:rsidRPr="00BB6BD9">
        <w:rPr>
          <w:rFonts w:asciiTheme="majorHAnsi" w:hAnsiTheme="majorHAnsi"/>
          <w:color w:val="000000" w:themeColor="text1"/>
          <w:shd w:val="clear" w:color="auto" w:fill="FFFFFF"/>
        </w:rPr>
        <w:t>10/20, 8/21, 11/21, 22/21, 5/22, 10/22, 11/22 i 12/23</w:t>
      </w:r>
      <w:r w:rsidRPr="00B47D9A">
        <w:rPr>
          <w:rFonts w:ascii="Cambria" w:hAnsi="Cambria"/>
        </w:rPr>
        <w:t>), obavlja i slijedeće poslove:</w:t>
      </w:r>
    </w:p>
    <w:p w:rsidR="00BB6BD9" w:rsidRPr="00B47D9A" w:rsidRDefault="00BB6BD9" w:rsidP="00BB6BD9">
      <w:pPr>
        <w:numPr>
          <w:ilvl w:val="0"/>
          <w:numId w:val="1"/>
        </w:numPr>
        <w:spacing w:before="120"/>
        <w:jc w:val="both"/>
        <w:rPr>
          <w:rFonts w:ascii="Cambria" w:hAnsi="Cambria"/>
        </w:rPr>
      </w:pPr>
      <w:r w:rsidRPr="00B47D9A">
        <w:rPr>
          <w:rFonts w:ascii="Cambria" w:hAnsi="Cambria"/>
        </w:rPr>
        <w:t>utvrđuje potrebu za prijemom radnika u radni odnos,</w:t>
      </w:r>
    </w:p>
    <w:p w:rsidR="00BB6BD9" w:rsidRPr="00B47D9A" w:rsidRDefault="00BB6BD9" w:rsidP="00BB6BD9">
      <w:pPr>
        <w:numPr>
          <w:ilvl w:val="0"/>
          <w:numId w:val="1"/>
        </w:numPr>
        <w:jc w:val="both"/>
        <w:rPr>
          <w:rFonts w:ascii="Cambria" w:hAnsi="Cambria"/>
        </w:rPr>
      </w:pPr>
      <w:r w:rsidRPr="00B47D9A">
        <w:rPr>
          <w:rFonts w:ascii="Cambria" w:hAnsi="Cambria"/>
        </w:rPr>
        <w:t xml:space="preserve">donosi odluku o raspisivanju konkursa za direktora škole, </w:t>
      </w:r>
    </w:p>
    <w:p w:rsidR="00BB6BD9" w:rsidRPr="00B47D9A" w:rsidRDefault="00BB6BD9" w:rsidP="00BB6BD9">
      <w:pPr>
        <w:numPr>
          <w:ilvl w:val="0"/>
          <w:numId w:val="1"/>
        </w:numPr>
        <w:jc w:val="both"/>
        <w:rPr>
          <w:rFonts w:ascii="Cambria" w:hAnsi="Cambria"/>
        </w:rPr>
      </w:pPr>
      <w:r w:rsidRPr="00B47D9A">
        <w:rPr>
          <w:rFonts w:ascii="Cambria" w:hAnsi="Cambria"/>
        </w:rPr>
        <w:t>usvaja godišnji program rada škole,</w:t>
      </w:r>
    </w:p>
    <w:p w:rsidR="00BB6BD9" w:rsidRPr="00B47D9A" w:rsidRDefault="00BB6BD9" w:rsidP="00BB6BD9">
      <w:pPr>
        <w:numPr>
          <w:ilvl w:val="0"/>
          <w:numId w:val="1"/>
        </w:numPr>
        <w:jc w:val="both"/>
        <w:rPr>
          <w:rFonts w:ascii="Cambria" w:hAnsi="Cambria"/>
        </w:rPr>
      </w:pPr>
      <w:r w:rsidRPr="00B47D9A">
        <w:rPr>
          <w:rFonts w:ascii="Cambria" w:hAnsi="Cambria"/>
        </w:rPr>
        <w:t>odlučuje u drugom stepenu o prestanku prava nastavnika i stručnih saradnika na dalji odgojno-obrazovni rad,</w:t>
      </w:r>
    </w:p>
    <w:p w:rsidR="00BB6BD9" w:rsidRPr="00B47D9A" w:rsidRDefault="00BB6BD9" w:rsidP="00BB6BD9">
      <w:pPr>
        <w:numPr>
          <w:ilvl w:val="0"/>
          <w:numId w:val="1"/>
        </w:numPr>
        <w:jc w:val="both"/>
        <w:rPr>
          <w:rFonts w:ascii="Cambria" w:hAnsi="Cambria"/>
        </w:rPr>
      </w:pPr>
      <w:r w:rsidRPr="00B47D9A">
        <w:rPr>
          <w:rFonts w:ascii="Cambria" w:hAnsi="Cambria"/>
        </w:rPr>
        <w:t>odlučuje o prigovoru roditelja učenika na rad nastavnika i stručnih saradnika i drugim pitanjima u vezi sa statusom učenika,</w:t>
      </w:r>
    </w:p>
    <w:p w:rsidR="00BB6BD9" w:rsidRPr="00B47D9A" w:rsidRDefault="00BB6BD9" w:rsidP="00BB6BD9">
      <w:pPr>
        <w:numPr>
          <w:ilvl w:val="0"/>
          <w:numId w:val="1"/>
        </w:numPr>
        <w:jc w:val="both"/>
        <w:rPr>
          <w:rFonts w:ascii="Cambria" w:hAnsi="Cambria"/>
        </w:rPr>
      </w:pPr>
      <w:r w:rsidRPr="00B47D9A">
        <w:rPr>
          <w:rFonts w:ascii="Cambria" w:hAnsi="Cambria"/>
        </w:rPr>
        <w:t>odlučuje o žalbama roditelja učenika na izrečenu pedagošku mjeru učeniku,</w:t>
      </w:r>
    </w:p>
    <w:p w:rsidR="00BB6BD9" w:rsidRPr="00B47D9A" w:rsidRDefault="00BB6BD9" w:rsidP="00BB6BD9">
      <w:pPr>
        <w:numPr>
          <w:ilvl w:val="0"/>
          <w:numId w:val="1"/>
        </w:numPr>
        <w:jc w:val="both"/>
        <w:rPr>
          <w:rFonts w:ascii="Cambria" w:hAnsi="Cambria"/>
        </w:rPr>
      </w:pPr>
      <w:r w:rsidRPr="00B47D9A">
        <w:rPr>
          <w:rFonts w:ascii="Cambria" w:hAnsi="Cambria"/>
        </w:rPr>
        <w:t>odlučuje, na prijedlog nastavničkog vijeća ili direktora, o prigovoru nastavnika i stručnih saradnika na ocjenu o radu,</w:t>
      </w:r>
    </w:p>
    <w:p w:rsidR="00BB6BD9" w:rsidRPr="00B47D9A" w:rsidRDefault="00BB6BD9" w:rsidP="00BB6BD9">
      <w:pPr>
        <w:numPr>
          <w:ilvl w:val="0"/>
          <w:numId w:val="1"/>
        </w:numPr>
        <w:jc w:val="both"/>
        <w:rPr>
          <w:rFonts w:ascii="Cambria" w:hAnsi="Cambria"/>
        </w:rPr>
      </w:pPr>
      <w:r w:rsidRPr="00B47D9A">
        <w:rPr>
          <w:rFonts w:ascii="Cambria" w:hAnsi="Cambria"/>
        </w:rPr>
        <w:t>imenuje i razrješava direktora škole,uz prethodnu saglasnost osnivača;</w:t>
      </w:r>
    </w:p>
    <w:p w:rsidR="00BB6BD9" w:rsidRPr="00B47D9A" w:rsidRDefault="00BB6BD9" w:rsidP="00BB6BD9">
      <w:pPr>
        <w:numPr>
          <w:ilvl w:val="0"/>
          <w:numId w:val="1"/>
        </w:numPr>
        <w:jc w:val="both"/>
        <w:rPr>
          <w:rFonts w:ascii="Cambria" w:hAnsi="Cambria"/>
        </w:rPr>
      </w:pPr>
      <w:r w:rsidRPr="00B47D9A">
        <w:rPr>
          <w:rFonts w:ascii="Cambria" w:hAnsi="Cambria"/>
        </w:rPr>
        <w:t>donosi pravila škole, uz saglasnost Ministarstva za škole čiji je osnivač Skupština kantona,</w:t>
      </w:r>
    </w:p>
    <w:p w:rsidR="00BB6BD9" w:rsidRPr="00B47D9A" w:rsidRDefault="00BB6BD9" w:rsidP="00BB6BD9">
      <w:pPr>
        <w:numPr>
          <w:ilvl w:val="0"/>
          <w:numId w:val="1"/>
        </w:numPr>
        <w:jc w:val="both"/>
        <w:rPr>
          <w:rFonts w:ascii="Cambria" w:hAnsi="Cambria"/>
        </w:rPr>
      </w:pPr>
      <w:r w:rsidRPr="00B47D9A">
        <w:rPr>
          <w:rFonts w:ascii="Cambria" w:hAnsi="Cambria"/>
        </w:rPr>
        <w:t>usmjerava, kontroliše i predlaže Ministarstvu ocjenu o radu direktora škole koja ima status javne ustanove,</w:t>
      </w:r>
    </w:p>
    <w:p w:rsidR="00BB6BD9" w:rsidRPr="00B47D9A" w:rsidRDefault="00BB6BD9" w:rsidP="00BB6BD9">
      <w:pPr>
        <w:numPr>
          <w:ilvl w:val="0"/>
          <w:numId w:val="1"/>
        </w:numPr>
        <w:jc w:val="both"/>
        <w:rPr>
          <w:rFonts w:ascii="Cambria" w:hAnsi="Cambria"/>
        </w:rPr>
      </w:pPr>
      <w:r w:rsidRPr="00B47D9A">
        <w:rPr>
          <w:rFonts w:ascii="Cambria" w:hAnsi="Cambria"/>
        </w:rPr>
        <w:t>razmatra polugodišnje izvještaje o izvršenju odobrenog budžeta škole po vrstama troškova i izvorima sredstava,</w:t>
      </w:r>
    </w:p>
    <w:p w:rsidR="00BB6BD9" w:rsidRPr="00B47D9A" w:rsidRDefault="00BB6BD9" w:rsidP="00BB6BD9">
      <w:pPr>
        <w:numPr>
          <w:ilvl w:val="0"/>
          <w:numId w:val="1"/>
        </w:numPr>
        <w:jc w:val="both"/>
        <w:rPr>
          <w:rFonts w:ascii="Cambria" w:hAnsi="Cambria"/>
        </w:rPr>
      </w:pPr>
      <w:r w:rsidRPr="00B47D9A">
        <w:rPr>
          <w:rFonts w:ascii="Cambria" w:hAnsi="Cambria"/>
        </w:rPr>
        <w:t>donosi odluke o nabavci stalnih sredstava u skladu sa odobrenim budžetom i usvaja izvještaj o provedenim nabavkama,</w:t>
      </w:r>
    </w:p>
    <w:p w:rsidR="00BB6BD9" w:rsidRPr="00B47D9A" w:rsidRDefault="00BB6BD9" w:rsidP="00BB6BD9">
      <w:pPr>
        <w:numPr>
          <w:ilvl w:val="0"/>
          <w:numId w:val="1"/>
        </w:numPr>
        <w:jc w:val="both"/>
        <w:rPr>
          <w:rFonts w:ascii="Cambria" w:hAnsi="Cambria"/>
        </w:rPr>
      </w:pPr>
      <w:r w:rsidRPr="00B47D9A">
        <w:rPr>
          <w:rFonts w:ascii="Cambria" w:hAnsi="Cambria"/>
        </w:rPr>
        <w:t>razmatra i usvaja izvještaj popisnih komisija o popisu sredstava i izvora sredstava škole i na prijedlog popisnih komisija donosi odluke o otpisu,</w:t>
      </w:r>
    </w:p>
    <w:p w:rsidR="00BB6BD9" w:rsidRPr="00B47D9A" w:rsidRDefault="00BB6BD9" w:rsidP="00BB6BD9">
      <w:pPr>
        <w:numPr>
          <w:ilvl w:val="0"/>
          <w:numId w:val="1"/>
        </w:numPr>
        <w:jc w:val="both"/>
        <w:rPr>
          <w:rFonts w:ascii="Cambria" w:hAnsi="Cambria"/>
        </w:rPr>
      </w:pPr>
      <w:r w:rsidRPr="00B47D9A">
        <w:rPr>
          <w:rFonts w:ascii="Cambria" w:hAnsi="Cambria"/>
        </w:rPr>
        <w:t>razmatra i donosi odluke o visini sredstava na ime odštete,</w:t>
      </w:r>
    </w:p>
    <w:p w:rsidR="00BB6BD9" w:rsidRPr="00B47D9A" w:rsidRDefault="00BB6BD9" w:rsidP="00BB6BD9">
      <w:pPr>
        <w:numPr>
          <w:ilvl w:val="0"/>
          <w:numId w:val="1"/>
        </w:numPr>
        <w:jc w:val="both"/>
        <w:rPr>
          <w:rFonts w:ascii="Cambria" w:hAnsi="Cambria"/>
        </w:rPr>
      </w:pPr>
      <w:r w:rsidRPr="00B47D9A">
        <w:rPr>
          <w:rFonts w:ascii="Cambria" w:hAnsi="Cambria"/>
        </w:rPr>
        <w:t>donosi akt o unutrašnjoj organizaciji i sistematizaciji i druge opšte akte škole,</w:t>
      </w:r>
    </w:p>
    <w:p w:rsidR="00BB6BD9" w:rsidRPr="00B47D9A" w:rsidRDefault="00BB6BD9" w:rsidP="00BB6BD9">
      <w:pPr>
        <w:numPr>
          <w:ilvl w:val="0"/>
          <w:numId w:val="1"/>
        </w:numPr>
        <w:jc w:val="both"/>
        <w:rPr>
          <w:rFonts w:ascii="Cambria" w:hAnsi="Cambria"/>
        </w:rPr>
      </w:pPr>
      <w:r w:rsidRPr="00B47D9A">
        <w:rPr>
          <w:rFonts w:ascii="Cambria" w:hAnsi="Cambria"/>
        </w:rPr>
        <w:lastRenderedPageBreak/>
        <w:t>odlučuje u drugom stepenu na odluke direktora o pravimaa i obavezama iz radnog odnosa i drugim slučajevima,</w:t>
      </w:r>
    </w:p>
    <w:p w:rsidR="00BB6BD9" w:rsidRPr="00B47D9A" w:rsidRDefault="00BB6BD9" w:rsidP="00BB6BD9">
      <w:pPr>
        <w:numPr>
          <w:ilvl w:val="0"/>
          <w:numId w:val="1"/>
        </w:numPr>
        <w:jc w:val="both"/>
        <w:rPr>
          <w:rFonts w:ascii="Cambria" w:hAnsi="Cambria"/>
        </w:rPr>
      </w:pPr>
      <w:r w:rsidRPr="00B47D9A">
        <w:rPr>
          <w:rFonts w:ascii="Cambria" w:hAnsi="Cambria"/>
        </w:rPr>
        <w:t>donosi odluku o raspolaganju pokretnim ili nepokretnim stvarima u vlasništvu škole, izdavanju nepokretnih stvari u zakup ili davanju pokretnih ili nepokretnih stvari drugim licima na besplatno korištenje;</w:t>
      </w:r>
    </w:p>
    <w:p w:rsidR="00BB6BD9" w:rsidRPr="00B47D9A" w:rsidRDefault="00BB6BD9" w:rsidP="00BB6BD9">
      <w:pPr>
        <w:numPr>
          <w:ilvl w:val="0"/>
          <w:numId w:val="1"/>
        </w:numPr>
        <w:jc w:val="both"/>
        <w:rPr>
          <w:rFonts w:ascii="Cambria" w:hAnsi="Cambria"/>
        </w:rPr>
      </w:pPr>
      <w:r w:rsidRPr="00B47D9A">
        <w:rPr>
          <w:rFonts w:ascii="Cambria" w:hAnsi="Cambria"/>
        </w:rPr>
        <w:t>rješava pitanja odnosa sa osnivačem,</w:t>
      </w:r>
    </w:p>
    <w:p w:rsidR="00BB6BD9" w:rsidRPr="00B47D9A" w:rsidRDefault="00BB6BD9" w:rsidP="00BB6BD9">
      <w:pPr>
        <w:numPr>
          <w:ilvl w:val="0"/>
          <w:numId w:val="1"/>
        </w:numPr>
        <w:jc w:val="both"/>
        <w:rPr>
          <w:rFonts w:ascii="Cambria" w:hAnsi="Cambria"/>
        </w:rPr>
      </w:pPr>
      <w:r w:rsidRPr="00B47D9A">
        <w:rPr>
          <w:rFonts w:ascii="Cambria" w:hAnsi="Cambria"/>
        </w:rPr>
        <w:t>odgovara osnivaču za rezultate rada škole,</w:t>
      </w:r>
    </w:p>
    <w:p w:rsidR="00BB6BD9" w:rsidRPr="00B47D9A" w:rsidRDefault="00BB6BD9" w:rsidP="00BB6BD9">
      <w:pPr>
        <w:numPr>
          <w:ilvl w:val="0"/>
          <w:numId w:val="1"/>
        </w:numPr>
        <w:jc w:val="both"/>
        <w:rPr>
          <w:rFonts w:ascii="Cambria" w:hAnsi="Cambria"/>
        </w:rPr>
      </w:pPr>
      <w:r w:rsidRPr="00B47D9A">
        <w:rPr>
          <w:rFonts w:ascii="Cambria" w:hAnsi="Cambria"/>
        </w:rPr>
        <w:t>podnosi osnivaču najmanje jedanput godišnje izvještaj o svom radu i radu škole,</w:t>
      </w:r>
    </w:p>
    <w:p w:rsidR="00BB6BD9" w:rsidRPr="00B47D9A" w:rsidRDefault="00BB6BD9" w:rsidP="00BB6BD9">
      <w:pPr>
        <w:numPr>
          <w:ilvl w:val="0"/>
          <w:numId w:val="1"/>
        </w:numPr>
        <w:jc w:val="both"/>
        <w:rPr>
          <w:rFonts w:ascii="Cambria" w:hAnsi="Cambria"/>
        </w:rPr>
      </w:pPr>
      <w:r w:rsidRPr="00B47D9A">
        <w:rPr>
          <w:rFonts w:ascii="Cambria" w:hAnsi="Cambria"/>
        </w:rPr>
        <w:t>izvršava odluke i zaključke Ministarstva,</w:t>
      </w:r>
    </w:p>
    <w:p w:rsidR="00BB6BD9" w:rsidRPr="00B47D9A" w:rsidRDefault="00BB6BD9" w:rsidP="00BB6BD9">
      <w:pPr>
        <w:numPr>
          <w:ilvl w:val="0"/>
          <w:numId w:val="1"/>
        </w:numPr>
        <w:jc w:val="both"/>
        <w:rPr>
          <w:rFonts w:ascii="Cambria" w:hAnsi="Cambria"/>
        </w:rPr>
      </w:pPr>
      <w:r w:rsidRPr="00B47D9A">
        <w:rPr>
          <w:rFonts w:ascii="Cambria" w:hAnsi="Cambria"/>
        </w:rPr>
        <w:t>vrši i druge poslove u skladu sa zakonom i pravilima škole.</w:t>
      </w:r>
    </w:p>
    <w:p w:rsidR="00BB6BD9" w:rsidRPr="00B47D9A" w:rsidRDefault="00BB6BD9" w:rsidP="00BB6BD9">
      <w:pPr>
        <w:jc w:val="both"/>
        <w:rPr>
          <w:rFonts w:ascii="Cambria" w:hAnsi="Cambria"/>
        </w:rPr>
      </w:pPr>
    </w:p>
    <w:p w:rsidR="00BB6BD9" w:rsidRPr="00B47D9A" w:rsidRDefault="00BB6BD9" w:rsidP="00BB6BD9">
      <w:pPr>
        <w:ind w:firstLine="720"/>
        <w:jc w:val="both"/>
        <w:rPr>
          <w:rFonts w:ascii="Cambria" w:hAnsi="Cambria"/>
        </w:rPr>
      </w:pPr>
      <w:r w:rsidRPr="00B47D9A">
        <w:rPr>
          <w:rFonts w:ascii="Cambria" w:hAnsi="Cambria"/>
        </w:rPr>
        <w:t>Školski odbor će tokom školske 202</w:t>
      </w:r>
      <w:r>
        <w:rPr>
          <w:rFonts w:ascii="Cambria" w:hAnsi="Cambria"/>
        </w:rPr>
        <w:t>3/2024</w:t>
      </w:r>
      <w:r w:rsidRPr="00B47D9A">
        <w:rPr>
          <w:rFonts w:ascii="Cambria" w:hAnsi="Cambria"/>
        </w:rPr>
        <w:t>. godine zasijedati po potrebi, a najmanje 5 puta i radit će po Poslovniku o radu Školskog odbora, Pravilima škole, a sve u skladu sa propisanim Zakonima. Vanredne sjednice Školskog odbora mogu se održavati po ukazanoj potrebi u skladu sa važnosti tekuće problematike.</w:t>
      </w:r>
    </w:p>
    <w:p w:rsidR="004A5383" w:rsidRDefault="004A5383"/>
    <w:sectPr w:rsidR="004A5383" w:rsidSect="004A5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5312C"/>
    <w:multiLevelType w:val="hybridMultilevel"/>
    <w:tmpl w:val="51743C9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BB6BD9"/>
    <w:rsid w:val="000E5687"/>
    <w:rsid w:val="004A5383"/>
    <w:rsid w:val="00BB6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BD9"/>
    <w:pPr>
      <w:spacing w:after="0" w:line="240" w:lineRule="auto"/>
    </w:pPr>
    <w:rPr>
      <w:rFonts w:ascii="Arial" w:eastAsia="Times New Roman" w:hAnsi="Arial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BD9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val="en-GB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1</cp:revision>
  <dcterms:created xsi:type="dcterms:W3CDTF">2024-03-28T08:34:00Z</dcterms:created>
  <dcterms:modified xsi:type="dcterms:W3CDTF">2024-03-28T08:46:00Z</dcterms:modified>
</cp:coreProperties>
</file>