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Borders>
          <w:bottom w:val="single" w:sz="4" w:space="0" w:color="auto"/>
        </w:tblBorders>
        <w:tblLayout w:type="fixed"/>
        <w:tblLook w:val="01E0"/>
      </w:tblPr>
      <w:tblGrid>
        <w:gridCol w:w="3780"/>
        <w:gridCol w:w="2700"/>
        <w:gridCol w:w="3960"/>
      </w:tblGrid>
      <w:tr w:rsidR="00BB6BD9" w:rsidRPr="00624E53" w:rsidTr="00BB7625">
        <w:trPr>
          <w:trHeight w:val="1627"/>
        </w:trPr>
        <w:tc>
          <w:tcPr>
            <w:tcW w:w="3780" w:type="dxa"/>
          </w:tcPr>
          <w:p w:rsidR="00BB6BD9" w:rsidRPr="00624E53" w:rsidRDefault="00BB6BD9" w:rsidP="00BB7625">
            <w:pPr>
              <w:jc w:val="center"/>
              <w:rPr>
                <w:rFonts w:ascii="Times New Roman" w:hAnsi="Times New Roman"/>
                <w:b/>
                <w:w w:val="150"/>
                <w:sz w:val="20"/>
                <w:szCs w:val="20"/>
                <w:lang w:val="bs-Latn-BA"/>
              </w:rPr>
            </w:pPr>
            <w:r w:rsidRPr="00624E53">
              <w:rPr>
                <w:rFonts w:ascii="Times New Roman" w:hAnsi="Times New Roman"/>
                <w:b/>
                <w:w w:val="150"/>
                <w:sz w:val="20"/>
                <w:szCs w:val="20"/>
                <w:lang w:val="bs-Latn-BA"/>
              </w:rPr>
              <w:t>Bosna i Hercegovina</w:t>
            </w:r>
          </w:p>
          <w:p w:rsidR="00BB6BD9" w:rsidRPr="00624E53" w:rsidRDefault="00BB6BD9" w:rsidP="00BB7625">
            <w:pPr>
              <w:jc w:val="center"/>
              <w:rPr>
                <w:rFonts w:ascii="Times New Roman" w:hAnsi="Times New Roman"/>
                <w:b/>
                <w:w w:val="150"/>
                <w:sz w:val="16"/>
                <w:szCs w:val="16"/>
                <w:lang w:val="bs-Latn-BA"/>
              </w:rPr>
            </w:pPr>
            <w:r w:rsidRPr="00624E53">
              <w:rPr>
                <w:rFonts w:ascii="Times New Roman" w:hAnsi="Times New Roman"/>
                <w:b/>
                <w:w w:val="150"/>
                <w:sz w:val="16"/>
                <w:szCs w:val="16"/>
                <w:lang w:val="bs-Latn-BA"/>
              </w:rPr>
              <w:t>Federacija Bosne i Hercegovine</w:t>
            </w:r>
          </w:p>
          <w:p w:rsidR="00BB6BD9" w:rsidRPr="00624E53" w:rsidRDefault="00BB6BD9" w:rsidP="00BB7625">
            <w:pPr>
              <w:jc w:val="center"/>
              <w:rPr>
                <w:rFonts w:ascii="Times New Roman" w:hAnsi="Times New Roman"/>
                <w:b/>
                <w:w w:val="150"/>
                <w:sz w:val="20"/>
                <w:szCs w:val="20"/>
                <w:lang w:val="bs-Latn-BA"/>
              </w:rPr>
            </w:pPr>
            <w:r w:rsidRPr="00624E53">
              <w:rPr>
                <w:rFonts w:ascii="Times New Roman" w:hAnsi="Times New Roman"/>
                <w:b/>
                <w:w w:val="150"/>
                <w:sz w:val="20"/>
                <w:szCs w:val="20"/>
                <w:lang w:val="bs-Latn-BA"/>
              </w:rPr>
              <w:t>Tuzlanski kanton</w:t>
            </w:r>
          </w:p>
          <w:p w:rsidR="00BB6BD9" w:rsidRPr="00624E53" w:rsidRDefault="00BB6BD9" w:rsidP="00BB7625">
            <w:pPr>
              <w:jc w:val="center"/>
              <w:rPr>
                <w:rFonts w:ascii="Times New Roman" w:hAnsi="Times New Roman"/>
                <w:b/>
                <w:w w:val="150"/>
                <w:sz w:val="20"/>
                <w:szCs w:val="20"/>
                <w:lang w:val="bs-Latn-BA"/>
              </w:rPr>
            </w:pPr>
            <w:r w:rsidRPr="00624E53">
              <w:rPr>
                <w:rFonts w:ascii="Times New Roman" w:hAnsi="Times New Roman"/>
                <w:b/>
                <w:w w:val="150"/>
                <w:sz w:val="20"/>
                <w:szCs w:val="20"/>
                <w:lang w:val="bs-Latn-BA"/>
              </w:rPr>
              <w:t>Općina Teočak</w:t>
            </w:r>
          </w:p>
          <w:p w:rsidR="00BB6BD9" w:rsidRPr="00624E53" w:rsidRDefault="00BB6BD9" w:rsidP="00BB7625">
            <w:pPr>
              <w:jc w:val="center"/>
              <w:rPr>
                <w:rFonts w:ascii="Times New Roman" w:hAnsi="Times New Roman"/>
                <w:b/>
                <w:w w:val="140"/>
                <w:sz w:val="20"/>
                <w:szCs w:val="20"/>
                <w:lang w:val="bs-Latn-BA"/>
              </w:rPr>
            </w:pPr>
            <w:r w:rsidRPr="00624E53">
              <w:rPr>
                <w:rFonts w:ascii="Times New Roman" w:hAnsi="Times New Roman"/>
                <w:b/>
                <w:w w:val="140"/>
                <w:sz w:val="20"/>
                <w:szCs w:val="20"/>
                <w:lang w:val="bs-Latn-BA"/>
              </w:rPr>
              <w:t xml:space="preserve">Osnovna škola "Teočak" </w:t>
            </w:r>
          </w:p>
          <w:p w:rsidR="00BB6BD9" w:rsidRPr="00624E53" w:rsidRDefault="00BB6BD9" w:rsidP="00BB7625">
            <w:pPr>
              <w:jc w:val="center"/>
              <w:rPr>
                <w:rFonts w:ascii="Times New Roman" w:hAnsi="Times New Roman"/>
                <w:b/>
                <w:w w:val="140"/>
                <w:sz w:val="20"/>
                <w:szCs w:val="20"/>
                <w:lang w:val="bs-Latn-BA"/>
              </w:rPr>
            </w:pPr>
            <w:r w:rsidRPr="00624E53">
              <w:rPr>
                <w:rFonts w:ascii="Times New Roman" w:hAnsi="Times New Roman"/>
                <w:b/>
                <w:w w:val="140"/>
                <w:sz w:val="20"/>
                <w:szCs w:val="20"/>
                <w:lang w:val="bs-Latn-BA"/>
              </w:rPr>
              <w:t>u Teočaku</w:t>
            </w:r>
          </w:p>
        </w:tc>
        <w:tc>
          <w:tcPr>
            <w:tcW w:w="2700" w:type="dxa"/>
          </w:tcPr>
          <w:p w:rsidR="00BB6BD9" w:rsidRPr="00624E53" w:rsidRDefault="000E5687" w:rsidP="00BB7625">
            <w:pPr>
              <w:jc w:val="center"/>
              <w:rPr>
                <w:rFonts w:ascii="Times New Roman" w:hAnsi="Times New Roman"/>
                <w:b/>
                <w:w w:val="200"/>
                <w:sz w:val="20"/>
                <w:szCs w:val="20"/>
                <w:lang w:val="bs-Latn-BA"/>
              </w:rPr>
            </w:pPr>
            <w:r w:rsidRPr="000E5687">
              <w:rPr>
                <w:rFonts w:ascii="Times New Roman" w:hAnsi="Times New Roman"/>
                <w:b/>
                <w:w w:val="200"/>
                <w:sz w:val="20"/>
                <w:szCs w:val="20"/>
                <w:lang w:val="bs-Latn-B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-46601</wp:posOffset>
                  </wp:positionH>
                  <wp:positionV relativeFrom="paragraph">
                    <wp:posOffset>-300027</wp:posOffset>
                  </wp:positionV>
                  <wp:extent cx="1559519" cy="1376516"/>
                  <wp:effectExtent l="19050" t="0" r="2581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19" cy="1376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0" w:type="dxa"/>
          </w:tcPr>
          <w:p w:rsidR="00BB6BD9" w:rsidRPr="00624E53" w:rsidRDefault="00BB6BD9" w:rsidP="00BB7625">
            <w:pPr>
              <w:jc w:val="center"/>
              <w:rPr>
                <w:rFonts w:ascii="Times New Roman" w:hAnsi="Times New Roman"/>
                <w:b/>
                <w:w w:val="150"/>
                <w:sz w:val="20"/>
                <w:szCs w:val="20"/>
                <w:lang w:val="bs-Latn-BA"/>
              </w:rPr>
            </w:pPr>
            <w:r w:rsidRPr="00624E53">
              <w:rPr>
                <w:rFonts w:ascii="Times New Roman" w:hAnsi="Times New Roman"/>
                <w:b/>
                <w:w w:val="150"/>
                <w:sz w:val="20"/>
                <w:szCs w:val="20"/>
                <w:lang w:val="bs-Latn-BA"/>
              </w:rPr>
              <w:t>Bosnia and Herzegovina</w:t>
            </w:r>
          </w:p>
          <w:p w:rsidR="00BB6BD9" w:rsidRPr="00624E53" w:rsidRDefault="00BB6BD9" w:rsidP="00BB762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624E53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The Federation of Bosnia and Herzegovina</w:t>
            </w:r>
          </w:p>
          <w:p w:rsidR="00BB6BD9" w:rsidRPr="00624E53" w:rsidRDefault="00BB6BD9" w:rsidP="00BB7625">
            <w:pPr>
              <w:jc w:val="center"/>
              <w:rPr>
                <w:rFonts w:ascii="Times New Roman" w:hAnsi="Times New Roman"/>
                <w:b/>
                <w:w w:val="150"/>
                <w:sz w:val="20"/>
                <w:szCs w:val="20"/>
                <w:lang w:val="bs-Latn-BA"/>
              </w:rPr>
            </w:pPr>
            <w:r w:rsidRPr="00624E53">
              <w:rPr>
                <w:rFonts w:ascii="Times New Roman" w:hAnsi="Times New Roman"/>
                <w:b/>
                <w:w w:val="150"/>
                <w:sz w:val="20"/>
                <w:szCs w:val="20"/>
                <w:lang w:val="bs-Latn-BA"/>
              </w:rPr>
              <w:t>Tuzla Canton</w:t>
            </w:r>
          </w:p>
          <w:p w:rsidR="00BB6BD9" w:rsidRPr="00624E53" w:rsidRDefault="00BB6BD9" w:rsidP="00BB7625">
            <w:pPr>
              <w:jc w:val="center"/>
              <w:rPr>
                <w:rFonts w:ascii="Times New Roman" w:hAnsi="Times New Roman"/>
                <w:b/>
                <w:w w:val="150"/>
                <w:sz w:val="20"/>
                <w:szCs w:val="20"/>
                <w:lang w:val="bs-Latn-BA"/>
              </w:rPr>
            </w:pPr>
            <w:r w:rsidRPr="00624E53">
              <w:rPr>
                <w:rFonts w:ascii="Times New Roman" w:hAnsi="Times New Roman"/>
                <w:b/>
                <w:w w:val="150"/>
                <w:sz w:val="20"/>
                <w:szCs w:val="20"/>
                <w:lang w:val="bs-Latn-BA"/>
              </w:rPr>
              <w:t>Teocak Municipality</w:t>
            </w:r>
          </w:p>
          <w:p w:rsidR="00BB6BD9" w:rsidRPr="00624E53" w:rsidRDefault="00BB6BD9" w:rsidP="00BB7625">
            <w:pPr>
              <w:jc w:val="center"/>
              <w:rPr>
                <w:rFonts w:ascii="Times New Roman" w:hAnsi="Times New Roman"/>
                <w:b/>
                <w:w w:val="140"/>
                <w:sz w:val="20"/>
                <w:szCs w:val="20"/>
                <w:lang w:val="bs-Latn-BA"/>
              </w:rPr>
            </w:pPr>
            <w:r w:rsidRPr="00624E53">
              <w:rPr>
                <w:rFonts w:ascii="Times New Roman" w:hAnsi="Times New Roman"/>
                <w:b/>
                <w:w w:val="140"/>
                <w:sz w:val="20"/>
                <w:szCs w:val="20"/>
                <w:lang w:val="bs-Latn-BA"/>
              </w:rPr>
              <w:t xml:space="preserve">Primary School "Teocak" </w:t>
            </w:r>
          </w:p>
          <w:p w:rsidR="00BB6BD9" w:rsidRPr="00624E53" w:rsidRDefault="00BB6BD9" w:rsidP="00BB7625">
            <w:pPr>
              <w:jc w:val="center"/>
              <w:rPr>
                <w:rFonts w:ascii="Times New Roman" w:hAnsi="Times New Roman"/>
                <w:b/>
                <w:w w:val="140"/>
                <w:sz w:val="20"/>
                <w:szCs w:val="20"/>
                <w:lang w:val="bs-Latn-BA"/>
              </w:rPr>
            </w:pPr>
            <w:r w:rsidRPr="00624E53">
              <w:rPr>
                <w:rFonts w:ascii="Times New Roman" w:hAnsi="Times New Roman"/>
                <w:b/>
                <w:w w:val="140"/>
                <w:sz w:val="20"/>
                <w:szCs w:val="20"/>
                <w:lang w:val="bs-Latn-BA"/>
              </w:rPr>
              <w:t>in Teocak</w:t>
            </w:r>
          </w:p>
        </w:tc>
      </w:tr>
    </w:tbl>
    <w:p w:rsidR="00BB6BD9" w:rsidRPr="00624E53" w:rsidRDefault="00BB6BD9" w:rsidP="00BB6BD9">
      <w:pPr>
        <w:pStyle w:val="NoSpacing"/>
        <w:jc w:val="both"/>
        <w:rPr>
          <w:rFonts w:ascii="Times New Roman" w:hAnsi="Times New Roman"/>
          <w:lang w:val="bs-Latn-BA"/>
        </w:rPr>
      </w:pPr>
    </w:p>
    <w:p w:rsidR="00BB6BD9" w:rsidRDefault="00BB6BD9" w:rsidP="00BB6BD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BD9" w:rsidRPr="00B47D9A" w:rsidRDefault="00BB6BD9" w:rsidP="00BB6BD9">
      <w:pPr>
        <w:jc w:val="center"/>
        <w:rPr>
          <w:rFonts w:ascii="Cambria" w:hAnsi="Cambria"/>
          <w:b/>
          <w:i/>
          <w:sz w:val="28"/>
          <w:szCs w:val="28"/>
        </w:rPr>
      </w:pPr>
      <w:r w:rsidRPr="00B47D9A">
        <w:rPr>
          <w:rFonts w:ascii="Cambria" w:hAnsi="Cambria"/>
          <w:b/>
          <w:i/>
          <w:sz w:val="28"/>
          <w:szCs w:val="28"/>
        </w:rPr>
        <w:t xml:space="preserve">PROGRAM RADA ŠKOLSKOG ODBORA </w:t>
      </w:r>
    </w:p>
    <w:p w:rsidR="00BB6BD9" w:rsidRPr="00B47D9A" w:rsidRDefault="00BB6BD9" w:rsidP="00BB6BD9">
      <w:pPr>
        <w:spacing w:before="120"/>
        <w:jc w:val="center"/>
        <w:rPr>
          <w:rFonts w:ascii="Cambria" w:hAnsi="Cambria"/>
          <w:b/>
          <w:i/>
          <w:sz w:val="28"/>
          <w:szCs w:val="28"/>
        </w:rPr>
      </w:pPr>
      <w:r w:rsidRPr="00B47D9A">
        <w:rPr>
          <w:rFonts w:ascii="Cambria" w:hAnsi="Cambria"/>
          <w:b/>
          <w:i/>
          <w:sz w:val="28"/>
          <w:szCs w:val="28"/>
        </w:rPr>
        <w:t xml:space="preserve">JU Osnovne škole „Teočak“ Teočak </w:t>
      </w:r>
    </w:p>
    <w:p w:rsidR="00BB6BD9" w:rsidRPr="00B47D9A" w:rsidRDefault="00BB6BD9" w:rsidP="00BB6BD9">
      <w:pPr>
        <w:jc w:val="both"/>
        <w:rPr>
          <w:rFonts w:ascii="Cambria" w:hAnsi="Cambria"/>
        </w:rPr>
      </w:pPr>
    </w:p>
    <w:p w:rsidR="00BB6BD9" w:rsidRPr="00B47D9A" w:rsidRDefault="00BB6BD9" w:rsidP="00BB6BD9">
      <w:pPr>
        <w:jc w:val="both"/>
        <w:rPr>
          <w:rFonts w:ascii="Cambria" w:hAnsi="Cambria"/>
        </w:rPr>
      </w:pPr>
    </w:p>
    <w:p w:rsidR="00BB6BD9" w:rsidRDefault="00BB6BD9" w:rsidP="00BB6BD9">
      <w:pPr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Školski odbor kao organ upravljanja JU OŠ „Teočak“ Teočak organizuje se i radi u skladu sa Zakonom o osnovnom odgoju i obrazovanju, Pravilima škole i Uredbom o uslovima, kriterijima, postupku i načinu imenovanja, te načinu rada Školskog odbora za osnovne škole čiji je osnivač Skupština Tuzlanskog kantona</w:t>
      </w:r>
      <w:r w:rsidR="000E5687">
        <w:rPr>
          <w:rFonts w:ascii="Cambria" w:hAnsi="Cambria"/>
        </w:rPr>
        <w:t>.</w:t>
      </w:r>
    </w:p>
    <w:p w:rsidR="000E5687" w:rsidRDefault="000E5687" w:rsidP="00BB6BD9">
      <w:pPr>
        <w:ind w:firstLine="720"/>
        <w:jc w:val="both"/>
        <w:rPr>
          <w:rFonts w:ascii="Cambria" w:hAnsi="Cambria"/>
        </w:rPr>
      </w:pPr>
    </w:p>
    <w:p w:rsidR="00BB6BD9" w:rsidRPr="00B47D9A" w:rsidRDefault="000E5687" w:rsidP="00BB6BD9">
      <w:pPr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Školski odbor JU OŠ „Teočak „ Teočak: </w:t>
      </w:r>
      <w:r w:rsidR="00BB6BD9" w:rsidRPr="00B47D9A">
        <w:rPr>
          <w:rFonts w:ascii="Cambria" w:hAnsi="Cambria"/>
        </w:rPr>
        <w:t xml:space="preserve">broji </w:t>
      </w:r>
      <w:r w:rsidR="00BB6BD9">
        <w:rPr>
          <w:rFonts w:ascii="Cambria" w:hAnsi="Cambria"/>
        </w:rPr>
        <w:t>tri člana</w:t>
      </w:r>
      <w:r>
        <w:rPr>
          <w:rFonts w:ascii="Cambria" w:hAnsi="Cambria"/>
        </w:rPr>
        <w:t>:</w:t>
      </w:r>
      <w:r w:rsidR="00BB6BD9" w:rsidRPr="00B47D9A">
        <w:rPr>
          <w:rFonts w:ascii="Cambria" w:hAnsi="Cambria"/>
        </w:rPr>
        <w:t xml:space="preserve"> </w:t>
      </w:r>
    </w:p>
    <w:p w:rsidR="00BB6BD9" w:rsidRPr="00BB6BD9" w:rsidRDefault="00BB6BD9" w:rsidP="00BB6BD9">
      <w:pPr>
        <w:jc w:val="both"/>
        <w:rPr>
          <w:rFonts w:ascii="Cambria" w:hAnsi="Cambria"/>
          <w:b/>
        </w:rPr>
      </w:pPr>
      <w:r w:rsidRPr="00BB6BD9">
        <w:rPr>
          <w:rFonts w:ascii="Cambria" w:hAnsi="Cambria"/>
          <w:b/>
        </w:rPr>
        <w:t>Predsjednik Školskog odbora: Mulaosmanović Semir</w:t>
      </w:r>
    </w:p>
    <w:p w:rsidR="00BB6BD9" w:rsidRDefault="00BB6BD9" w:rsidP="00BB6BD9">
      <w:pPr>
        <w:jc w:val="both"/>
        <w:rPr>
          <w:rFonts w:ascii="Cambria" w:hAnsi="Cambria"/>
          <w:b/>
        </w:rPr>
      </w:pPr>
      <w:r w:rsidRPr="00BB6BD9">
        <w:rPr>
          <w:rFonts w:ascii="Cambria" w:hAnsi="Cambria"/>
          <w:b/>
        </w:rPr>
        <w:t>Članovi: Abdulahović Amir i Dautović Meksudin</w:t>
      </w:r>
    </w:p>
    <w:p w:rsidR="000E5687" w:rsidRPr="00BB6BD9" w:rsidRDefault="000E5687" w:rsidP="00BB6BD9">
      <w:pPr>
        <w:jc w:val="both"/>
        <w:rPr>
          <w:rFonts w:ascii="Cambria" w:hAnsi="Cambria"/>
          <w:b/>
        </w:rPr>
      </w:pPr>
    </w:p>
    <w:p w:rsidR="00BB6BD9" w:rsidRPr="00B47D9A" w:rsidRDefault="00BB6BD9" w:rsidP="00BB6BD9">
      <w:pPr>
        <w:ind w:firstLine="720"/>
        <w:jc w:val="both"/>
        <w:rPr>
          <w:rFonts w:ascii="Cambria" w:hAnsi="Cambria"/>
        </w:rPr>
      </w:pPr>
      <w:r w:rsidRPr="00B47D9A">
        <w:rPr>
          <w:rFonts w:ascii="Cambria" w:hAnsi="Cambria"/>
        </w:rPr>
        <w:t>Školski odbor, pored poslova utvrđenih Zakonom o osnovnom odgoju i obrazovanju („Službene novine Tuzlanskog kantona“, broj:</w:t>
      </w:r>
      <w:r w:rsidRPr="00BB6BD9">
        <w:rPr>
          <w:rFonts w:ascii="Open Sans" w:hAnsi="Open Sans"/>
          <w:color w:val="444444"/>
          <w:sz w:val="25"/>
          <w:szCs w:val="25"/>
          <w:shd w:val="clear" w:color="auto" w:fill="FFFFFF"/>
        </w:rPr>
        <w:t xml:space="preserve"> </w:t>
      </w:r>
      <w:r w:rsidRPr="00BB6BD9">
        <w:rPr>
          <w:rFonts w:asciiTheme="majorHAnsi" w:hAnsiTheme="majorHAnsi"/>
          <w:color w:val="000000" w:themeColor="text1"/>
          <w:shd w:val="clear" w:color="auto" w:fill="FFFFFF"/>
        </w:rPr>
        <w:t>10/20, 8/21, 11/21, 22/21, 5/22, 10/22, 11/22 i 12/23</w:t>
      </w:r>
      <w:r w:rsidRPr="00B47D9A">
        <w:rPr>
          <w:rFonts w:ascii="Cambria" w:hAnsi="Cambria"/>
        </w:rPr>
        <w:t>), obavlja i slijedeće poslove:</w:t>
      </w:r>
    </w:p>
    <w:p w:rsidR="00BB6BD9" w:rsidRPr="00B47D9A" w:rsidRDefault="00BB6BD9" w:rsidP="00BB6BD9">
      <w:pPr>
        <w:numPr>
          <w:ilvl w:val="0"/>
          <w:numId w:val="1"/>
        </w:numPr>
        <w:spacing w:before="120"/>
        <w:jc w:val="both"/>
        <w:rPr>
          <w:rFonts w:ascii="Cambria" w:hAnsi="Cambria"/>
        </w:rPr>
      </w:pPr>
      <w:r w:rsidRPr="00B47D9A">
        <w:rPr>
          <w:rFonts w:ascii="Cambria" w:hAnsi="Cambria"/>
        </w:rPr>
        <w:t>utvrđuje potrebu za prijemom radnika u radni odnos,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 xml:space="preserve">donosi odluku o raspisivanju konkursa za direktora škole, 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usvaja godišnji program rada škole,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odlučuje u drugom stepenu o prestanku prava nastavnika i stručnih saradnika na dalji odgojno-obrazovni rad,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odlučuje o prigovoru roditelja učenika na rad nastavnika i stručnih saradnika i drugim pitanjima u vezi sa statusom učenika,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odlučuje o žalbama roditelja učenika na izrečenu pedagošku mjeru učeniku,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odlučuje, na prijedlog nastavničkog vijeća ili direktora, o prigovoru nastavnika i stručnih saradnika na ocjenu o radu,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imenuje i razrješava direktora škole,uz prethodnu saglasnost osnivača;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donosi pravila škole, uz saglasnost Ministarstva za škole čiji je osnivač Skupština kantona,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usmjerava, kontroliše i predlaže Ministarstvu ocjenu o radu direktora škole koja ima status javne ustanove,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razmatra polugodišnje izvještaje o izvršenju odobrenog budžeta škole po vrstama troškova i izvorima sredstava,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donosi odluke o nabavci stalnih sredstava u skladu sa odobrenim budžetom i usvaja izvještaj o provedenim nabavkama,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razmatra i usvaja izvještaj popisnih komisija o popisu sredstava i izvora sredstava škole i na prijedlog popisnih komisija donosi odluke o otpisu,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razmatra i donosi odluke o visini sredstava na ime odštete,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donosi akt o unutrašnjoj organizaciji i sistematizaciji i druge opšte akte škole,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lastRenderedPageBreak/>
        <w:t>odlučuje u drugom stepenu na odluke direktora o pravimaa i obavezama iz radnog odnosa i drugim slučajevima,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donosi odluku o raspolaganju pokretnim ili nepokretnim stvarima u vlasništvu škole, izdavanju nepokretnih stvari u zakup ili davanju pokretnih ili nepokretnih stvari drugim licima na besplatno korištenje;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rješava pitanja odnosa sa osnivačem,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odgovara osnivaču za rezultate rada škole,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podnosi osnivaču najmanje jedanput godišnje izvještaj o svom radu i radu škole,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izvršava odluke i zaključke Ministarstva,</w:t>
      </w:r>
    </w:p>
    <w:p w:rsidR="00BB6BD9" w:rsidRPr="00B47D9A" w:rsidRDefault="00BB6BD9" w:rsidP="00BB6BD9">
      <w:pPr>
        <w:numPr>
          <w:ilvl w:val="0"/>
          <w:numId w:val="1"/>
        </w:numPr>
        <w:jc w:val="both"/>
        <w:rPr>
          <w:rFonts w:ascii="Cambria" w:hAnsi="Cambria"/>
        </w:rPr>
      </w:pPr>
      <w:r w:rsidRPr="00B47D9A">
        <w:rPr>
          <w:rFonts w:ascii="Cambria" w:hAnsi="Cambria"/>
        </w:rPr>
        <w:t>vrši i druge poslove u skladu sa zakonom i pravilima škole.</w:t>
      </w:r>
    </w:p>
    <w:p w:rsidR="00BB6BD9" w:rsidRPr="00B47D9A" w:rsidRDefault="00BB6BD9" w:rsidP="00BB6BD9">
      <w:pPr>
        <w:jc w:val="both"/>
        <w:rPr>
          <w:rFonts w:ascii="Cambria" w:hAnsi="Cambria"/>
        </w:rPr>
      </w:pPr>
    </w:p>
    <w:p w:rsidR="00BB6BD9" w:rsidRPr="00B47D9A" w:rsidRDefault="00BB6BD9" w:rsidP="00BB6BD9">
      <w:pPr>
        <w:ind w:firstLine="720"/>
        <w:jc w:val="both"/>
        <w:rPr>
          <w:rFonts w:ascii="Cambria" w:hAnsi="Cambria"/>
        </w:rPr>
      </w:pPr>
      <w:r w:rsidRPr="00B47D9A">
        <w:rPr>
          <w:rFonts w:ascii="Cambria" w:hAnsi="Cambria"/>
        </w:rPr>
        <w:t>Školski odbor će tokom školske 202</w:t>
      </w:r>
      <w:r>
        <w:rPr>
          <w:rFonts w:ascii="Cambria" w:hAnsi="Cambria"/>
        </w:rPr>
        <w:t>3/2024</w:t>
      </w:r>
      <w:r w:rsidRPr="00B47D9A">
        <w:rPr>
          <w:rFonts w:ascii="Cambria" w:hAnsi="Cambria"/>
        </w:rPr>
        <w:t>. godine zasijedati po potrebi, a najmanje 5 puta i radit će po Poslovniku o radu Školskog odbora, Pravilima škole, a sve u skladu sa propisanim Zakonima. Vanredne sjednice Školskog odbora mogu se održavati po ukazanoj potrebi u skladu sa važnosti tekuće problematike.</w:t>
      </w:r>
    </w:p>
    <w:p w:rsidR="004A5383" w:rsidRDefault="004A5383"/>
    <w:sectPr w:rsidR="004A5383" w:rsidSect="004A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312C"/>
    <w:multiLevelType w:val="hybridMultilevel"/>
    <w:tmpl w:val="51743C9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BB6BD9"/>
    <w:rsid w:val="000E5687"/>
    <w:rsid w:val="004A5383"/>
    <w:rsid w:val="00BB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BD9"/>
    <w:pPr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BD9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2024-03-28T08:34:00Z</dcterms:created>
  <dcterms:modified xsi:type="dcterms:W3CDTF">2024-03-28T08:46:00Z</dcterms:modified>
</cp:coreProperties>
</file>